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182E" w14:textId="1A3DAE36" w:rsidR="00C16199" w:rsidRPr="00FC50C3" w:rsidRDefault="00C16199" w:rsidP="00C16199">
      <w:pPr>
        <w:tabs>
          <w:tab w:val="left" w:pos="4590"/>
        </w:tabs>
        <w:spacing w:after="0" w:line="240" w:lineRule="auto"/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EAFF328" wp14:editId="5E2706D3">
            <wp:simplePos x="0" y="0"/>
            <wp:positionH relativeFrom="column">
              <wp:posOffset>2524760</wp:posOffset>
            </wp:positionH>
            <wp:positionV relativeFrom="paragraph">
              <wp:posOffset>-59690</wp:posOffset>
            </wp:positionV>
            <wp:extent cx="873125" cy="77025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EEC">
        <w:rPr>
          <w:rFonts w:ascii="Sylfaen" w:hAnsi="Sylfaen"/>
          <w:b/>
          <w:sz w:val="24"/>
          <w:szCs w:val="24"/>
        </w:rPr>
        <w:tab/>
      </w:r>
      <w:r w:rsidRPr="005C3EEC">
        <w:rPr>
          <w:rFonts w:ascii="Sylfaen" w:hAnsi="Sylfaen"/>
          <w:b/>
          <w:sz w:val="24"/>
          <w:szCs w:val="24"/>
        </w:rPr>
        <w:tab/>
      </w:r>
      <w:r w:rsidRPr="005C3EEC">
        <w:rPr>
          <w:rFonts w:ascii="Sylfaen" w:hAnsi="Sylfaen"/>
          <w:b/>
          <w:sz w:val="24"/>
          <w:szCs w:val="24"/>
        </w:rPr>
        <w:tab/>
      </w:r>
      <w:r w:rsidRPr="005C3EEC">
        <w:rPr>
          <w:rFonts w:ascii="Sylfaen" w:hAnsi="Sylfaen"/>
          <w:b/>
          <w:sz w:val="24"/>
          <w:szCs w:val="24"/>
        </w:rPr>
        <w:tab/>
      </w:r>
      <w:r>
        <w:rPr>
          <w:rFonts w:ascii="Sylfaen" w:hAnsi="Sylfaen"/>
          <w:b/>
          <w:sz w:val="24"/>
          <w:szCs w:val="24"/>
          <w:u w:val="single"/>
          <w:lang w:val="hy-AM"/>
        </w:rPr>
        <w:t>ԵԴ2</w:t>
      </w:r>
      <w:r w:rsidRPr="005C3EEC">
        <w:rPr>
          <w:rFonts w:ascii="Sylfaen" w:hAnsi="Sylfaen"/>
          <w:b/>
          <w:sz w:val="24"/>
          <w:szCs w:val="24"/>
          <w:u w:val="single"/>
        </w:rPr>
        <w:t>/</w:t>
      </w:r>
      <w:r>
        <w:rPr>
          <w:rFonts w:ascii="Sylfaen" w:hAnsi="Sylfaen"/>
          <w:b/>
          <w:sz w:val="24"/>
          <w:szCs w:val="24"/>
          <w:u w:val="single"/>
          <w:lang w:val="hy-AM"/>
        </w:rPr>
        <w:t>3907</w:t>
      </w:r>
      <w:r w:rsidRPr="005C3EEC">
        <w:rPr>
          <w:rFonts w:ascii="Sylfaen" w:hAnsi="Sylfaen"/>
          <w:b/>
          <w:sz w:val="24"/>
          <w:szCs w:val="24"/>
          <w:u w:val="single"/>
        </w:rPr>
        <w:t>/02/</w:t>
      </w:r>
      <w:r>
        <w:rPr>
          <w:rFonts w:ascii="Sylfaen" w:hAnsi="Sylfaen"/>
          <w:b/>
          <w:sz w:val="24"/>
          <w:szCs w:val="24"/>
          <w:u w:val="single"/>
          <w:lang w:val="hy-AM"/>
        </w:rPr>
        <w:t>23</w:t>
      </w:r>
    </w:p>
    <w:p w14:paraId="177C5D9A" w14:textId="77777777" w:rsidR="00C16199" w:rsidRPr="005C3EEC" w:rsidRDefault="00C16199" w:rsidP="00C16199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</w:p>
    <w:p w14:paraId="191F9BF6" w14:textId="77777777" w:rsidR="00C16199" w:rsidRPr="005C3EEC" w:rsidRDefault="00C16199" w:rsidP="00C16199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6CAEFCFD" w14:textId="77777777" w:rsidR="00C16199" w:rsidRPr="00FC50C3" w:rsidRDefault="00C16199" w:rsidP="00C16199">
      <w:pPr>
        <w:spacing w:after="0" w:line="240" w:lineRule="auto"/>
        <w:jc w:val="center"/>
        <w:rPr>
          <w:rFonts w:ascii="Sylfaen" w:hAnsi="Sylfaen"/>
          <w:b/>
          <w:sz w:val="16"/>
          <w:szCs w:val="24"/>
          <w:lang w:val="hy-AM"/>
        </w:rPr>
      </w:pPr>
    </w:p>
    <w:p w14:paraId="102C60D6" w14:textId="77777777" w:rsidR="00C16199" w:rsidRPr="00B74683" w:rsidRDefault="00C16199" w:rsidP="00C16199">
      <w:pPr>
        <w:spacing w:after="0" w:line="240" w:lineRule="auto"/>
        <w:jc w:val="center"/>
        <w:rPr>
          <w:rFonts w:ascii="Sylfaen" w:hAnsi="Sylfaen"/>
          <w:b/>
          <w:lang w:val="hy-AM"/>
        </w:rPr>
      </w:pPr>
      <w:r w:rsidRPr="00B74683">
        <w:rPr>
          <w:rFonts w:ascii="Sylfaen" w:hAnsi="Sylfaen"/>
          <w:b/>
          <w:lang w:val="hy-AM"/>
        </w:rPr>
        <w:t>ՀՀ  ԵՐԵՎԱՆ ՔԱՂԱՔԻ  ԱՌԱՋԻՆ  ԱՏՅԱՆԻ</w:t>
      </w:r>
    </w:p>
    <w:p w14:paraId="118BAD03" w14:textId="77777777" w:rsidR="00C16199" w:rsidRPr="00B74683" w:rsidRDefault="00C16199" w:rsidP="00C16199">
      <w:pPr>
        <w:spacing w:after="0" w:line="240" w:lineRule="auto"/>
        <w:jc w:val="center"/>
        <w:rPr>
          <w:rFonts w:ascii="Sylfaen" w:hAnsi="Sylfaen"/>
          <w:b/>
          <w:lang w:val="hy-AM"/>
        </w:rPr>
      </w:pPr>
      <w:r w:rsidRPr="00B74683">
        <w:rPr>
          <w:rFonts w:ascii="Sylfaen" w:hAnsi="Sylfaen"/>
          <w:b/>
          <w:lang w:val="hy-AM"/>
        </w:rPr>
        <w:t xml:space="preserve">ԸՆԴՀԱՆՈՒՐ  ԻՐԱՎԱՍՈՒԹՅԱՆ  </w:t>
      </w:r>
      <w:r>
        <w:rPr>
          <w:rFonts w:ascii="Sylfaen" w:hAnsi="Sylfaen"/>
          <w:b/>
          <w:lang w:val="hy-AM"/>
        </w:rPr>
        <w:t xml:space="preserve">ՔԱՂԱՔԱՑԻԱԿԱՆ </w:t>
      </w:r>
      <w:r w:rsidRPr="00B74683">
        <w:rPr>
          <w:rFonts w:ascii="Sylfaen" w:hAnsi="Sylfaen"/>
          <w:b/>
          <w:lang w:val="hy-AM"/>
        </w:rPr>
        <w:t>ԴԱՏԱՐԱՆԻ</w:t>
      </w:r>
    </w:p>
    <w:p w14:paraId="36791991" w14:textId="77777777" w:rsidR="00C16199" w:rsidRPr="00B74683" w:rsidRDefault="00C16199" w:rsidP="00C16199">
      <w:pPr>
        <w:spacing w:after="0" w:line="240" w:lineRule="auto"/>
        <w:jc w:val="center"/>
        <w:rPr>
          <w:rFonts w:ascii="Sylfaen" w:hAnsi="Sylfaen"/>
          <w:b/>
          <w:lang w:val="hy-AM"/>
        </w:rPr>
      </w:pPr>
      <w:r w:rsidRPr="00B74683">
        <w:rPr>
          <w:rFonts w:ascii="Sylfaen" w:hAnsi="Sylfaen"/>
          <w:b/>
          <w:lang w:val="hy-AM"/>
        </w:rPr>
        <w:t>Ո Ր Ո Շ Ո Ւ Մ</w:t>
      </w:r>
    </w:p>
    <w:p w14:paraId="5ED6A278" w14:textId="77777777" w:rsidR="00C16199" w:rsidRPr="00B74683" w:rsidRDefault="00C16199" w:rsidP="00C16199">
      <w:pPr>
        <w:spacing w:after="0"/>
        <w:jc w:val="center"/>
        <w:rPr>
          <w:rFonts w:ascii="Sylfaen" w:hAnsi="Sylfaen"/>
          <w:b/>
          <w:lang w:val="hy-AM"/>
        </w:rPr>
      </w:pPr>
      <w:r w:rsidRPr="00B74683">
        <w:rPr>
          <w:rFonts w:ascii="Sylfaen" w:hAnsi="Sylfaen"/>
          <w:b/>
          <w:lang w:val="hy-AM"/>
        </w:rPr>
        <w:t xml:space="preserve">ՀԱՅՑԱԴԻՄՈՒՄԸ   ՎԱՐՈՒՅԹ   ԸՆԴՈՒՆԵԼՈՒ, </w:t>
      </w:r>
    </w:p>
    <w:p w14:paraId="6B23CAC7" w14:textId="77777777" w:rsidR="00C16199" w:rsidRPr="00B74683" w:rsidRDefault="00C16199" w:rsidP="00C16199">
      <w:pPr>
        <w:spacing w:after="0"/>
        <w:jc w:val="center"/>
        <w:rPr>
          <w:rFonts w:ascii="Sylfaen" w:hAnsi="Sylfaen"/>
          <w:b/>
          <w:lang w:val="hy-AM"/>
        </w:rPr>
      </w:pPr>
      <w:r w:rsidRPr="00B74683">
        <w:rPr>
          <w:rFonts w:ascii="Sylfaen" w:hAnsi="Sylfaen"/>
          <w:b/>
          <w:lang w:val="hy-AM"/>
        </w:rPr>
        <w:t xml:space="preserve">ՊԱՏԱՍԽԱՆՈՂԻՑ ԱՊԱՑՈՒՅՑՆԵՐ ՊԱՀԱՆՋԵԼՈՒ ԵՎ </w:t>
      </w:r>
    </w:p>
    <w:p w14:paraId="572737CB" w14:textId="77777777" w:rsidR="00C16199" w:rsidRPr="00B74683" w:rsidRDefault="00C16199" w:rsidP="00C16199">
      <w:pPr>
        <w:spacing w:after="0"/>
        <w:jc w:val="center"/>
        <w:rPr>
          <w:rFonts w:ascii="Sylfaen" w:hAnsi="Sylfaen"/>
          <w:b/>
          <w:lang w:val="hy-AM"/>
        </w:rPr>
      </w:pPr>
      <w:r w:rsidRPr="00B74683">
        <w:rPr>
          <w:rFonts w:ascii="Sylfaen" w:hAnsi="Sylfaen"/>
          <w:b/>
          <w:lang w:val="hy-AM"/>
        </w:rPr>
        <w:t xml:space="preserve">ԳՈՐԾԻ ՔՆՆՈՒԹՅՈՒՆԸ ԴԱՏԱԿԱՆ ՆԻՍՏՈՎ ԻՐԱԿԱՆԱՑՆԵԼՈՒ ՄԱՍԻՆ            </w:t>
      </w:r>
    </w:p>
    <w:p w14:paraId="16943832" w14:textId="77777777" w:rsidR="00C16199" w:rsidRPr="00CB415E" w:rsidRDefault="00C16199" w:rsidP="00C16199">
      <w:pPr>
        <w:spacing w:after="0" w:line="240" w:lineRule="auto"/>
        <w:ind w:firstLine="720"/>
        <w:jc w:val="center"/>
        <w:rPr>
          <w:rFonts w:ascii="Sylfaen" w:hAnsi="Sylfaen"/>
          <w:b/>
          <w:sz w:val="12"/>
          <w:szCs w:val="24"/>
          <w:lang w:val="hy-AM"/>
        </w:rPr>
      </w:pPr>
    </w:p>
    <w:p w14:paraId="4F3C9AA6" w14:textId="77777777" w:rsidR="00C16199" w:rsidRPr="005C3EEC" w:rsidRDefault="00C16199" w:rsidP="00C16199">
      <w:pPr>
        <w:spacing w:after="0" w:line="240" w:lineRule="auto"/>
        <w:ind w:firstLine="72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19 մայիսի </w:t>
      </w:r>
      <w:r w:rsidRPr="005C3EEC">
        <w:rPr>
          <w:rFonts w:ascii="Sylfaen" w:hAnsi="Sylfaen" w:cs="Times Armenian"/>
          <w:b/>
          <w:sz w:val="24"/>
          <w:szCs w:val="24"/>
          <w:lang w:val="hy-AM"/>
        </w:rPr>
        <w:t>20</w:t>
      </w:r>
      <w:r>
        <w:rPr>
          <w:rFonts w:ascii="Sylfaen" w:hAnsi="Sylfaen" w:cs="Times Armenian"/>
          <w:b/>
          <w:sz w:val="24"/>
          <w:szCs w:val="24"/>
          <w:lang w:val="hy-AM"/>
        </w:rPr>
        <w:t>23</w:t>
      </w:r>
      <w:r w:rsidRPr="005C3EEC">
        <w:rPr>
          <w:rFonts w:ascii="Sylfaen" w:hAnsi="Sylfaen" w:cs="Sylfaen"/>
          <w:b/>
          <w:sz w:val="24"/>
          <w:szCs w:val="24"/>
          <w:lang w:val="hy-AM"/>
        </w:rPr>
        <w:t>թ.</w:t>
      </w:r>
      <w:r w:rsidRPr="005C3EEC">
        <w:rPr>
          <w:rFonts w:ascii="Sylfaen" w:hAnsi="Sylfaen" w:cs="Times Armenian"/>
          <w:b/>
          <w:sz w:val="24"/>
          <w:szCs w:val="24"/>
          <w:lang w:val="hy-AM"/>
        </w:rPr>
        <w:tab/>
      </w:r>
      <w:r w:rsidRPr="005C3EEC">
        <w:rPr>
          <w:rFonts w:ascii="Sylfaen" w:hAnsi="Sylfaen" w:cs="Times Armenian"/>
          <w:b/>
          <w:sz w:val="24"/>
          <w:szCs w:val="24"/>
          <w:lang w:val="hy-AM"/>
        </w:rPr>
        <w:tab/>
      </w:r>
      <w:r w:rsidRPr="005C3EEC">
        <w:rPr>
          <w:rFonts w:ascii="Sylfaen" w:hAnsi="Sylfaen" w:cs="Times Armenian"/>
          <w:b/>
          <w:sz w:val="24"/>
          <w:szCs w:val="24"/>
          <w:lang w:val="hy-AM"/>
        </w:rPr>
        <w:tab/>
      </w:r>
      <w:r w:rsidRPr="005C3EEC">
        <w:rPr>
          <w:rFonts w:ascii="Sylfaen" w:hAnsi="Sylfaen" w:cs="Times Armenian"/>
          <w:b/>
          <w:sz w:val="24"/>
          <w:szCs w:val="24"/>
          <w:lang w:val="hy-AM"/>
        </w:rPr>
        <w:tab/>
      </w:r>
      <w:r w:rsidRPr="005C3EEC">
        <w:rPr>
          <w:rFonts w:ascii="Sylfaen" w:hAnsi="Sylfaen" w:cs="Times Armenian"/>
          <w:b/>
          <w:sz w:val="24"/>
          <w:szCs w:val="24"/>
          <w:lang w:val="hy-AM"/>
        </w:rPr>
        <w:tab/>
      </w:r>
      <w:r w:rsidRPr="005C3EEC">
        <w:rPr>
          <w:rFonts w:ascii="Sylfaen" w:hAnsi="Sylfaen" w:cs="Times Armenian"/>
          <w:b/>
          <w:sz w:val="24"/>
          <w:szCs w:val="24"/>
          <w:lang w:val="hy-AM"/>
        </w:rPr>
        <w:tab/>
      </w:r>
      <w:r w:rsidRPr="005C3EEC">
        <w:rPr>
          <w:rFonts w:ascii="Sylfaen" w:hAnsi="Sylfaen" w:cs="Times Armenian"/>
          <w:b/>
          <w:sz w:val="24"/>
          <w:szCs w:val="24"/>
          <w:lang w:val="hy-AM"/>
        </w:rPr>
        <w:tab/>
        <w:t xml:space="preserve"> </w:t>
      </w:r>
      <w:r w:rsidRPr="005C3EEC">
        <w:rPr>
          <w:rFonts w:ascii="Sylfaen" w:hAnsi="Sylfaen" w:cs="Sylfaen"/>
          <w:b/>
          <w:sz w:val="24"/>
          <w:szCs w:val="24"/>
          <w:lang w:val="hy-AM"/>
        </w:rPr>
        <w:t>ք</w:t>
      </w:r>
      <w:r w:rsidRPr="005C3EEC">
        <w:rPr>
          <w:rFonts w:ascii="Sylfaen" w:hAnsi="Sylfaen" w:cs="Times Armenian"/>
          <w:b/>
          <w:sz w:val="24"/>
          <w:szCs w:val="24"/>
          <w:lang w:val="hy-AM"/>
        </w:rPr>
        <w:t>.</w:t>
      </w:r>
      <w:r>
        <w:rPr>
          <w:rFonts w:ascii="Sylfaen" w:hAnsi="Sylfaen" w:cs="Times Armenian"/>
          <w:b/>
          <w:sz w:val="24"/>
          <w:szCs w:val="24"/>
          <w:lang w:val="hy-AM"/>
        </w:rPr>
        <w:t>Երևան</w:t>
      </w:r>
    </w:p>
    <w:p w14:paraId="6305ACE4" w14:textId="77777777" w:rsidR="00C16199" w:rsidRPr="000C7F83" w:rsidRDefault="00C16199" w:rsidP="00C16199">
      <w:pPr>
        <w:spacing w:after="0" w:line="240" w:lineRule="auto"/>
        <w:ind w:firstLine="720"/>
        <w:jc w:val="center"/>
        <w:rPr>
          <w:rFonts w:ascii="Sylfaen" w:hAnsi="Sylfaen" w:cs="Sylfaen"/>
          <w:b/>
          <w:sz w:val="10"/>
          <w:szCs w:val="24"/>
          <w:lang w:val="hy-AM"/>
        </w:rPr>
      </w:pPr>
    </w:p>
    <w:p w14:paraId="6BC697D1" w14:textId="77777777" w:rsidR="00C16199" w:rsidRPr="00CB415E" w:rsidRDefault="00C16199" w:rsidP="00C16199">
      <w:pPr>
        <w:tabs>
          <w:tab w:val="left" w:pos="7920"/>
        </w:tabs>
        <w:spacing w:after="0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5C3EEC">
        <w:rPr>
          <w:rFonts w:ascii="Sylfaen" w:hAnsi="Sylfaen" w:cs="Sylfaen"/>
          <w:sz w:val="24"/>
          <w:szCs w:val="24"/>
          <w:lang w:val="hy-AM"/>
        </w:rPr>
        <w:t xml:space="preserve">ՀՀ </w:t>
      </w:r>
      <w:r>
        <w:rPr>
          <w:rFonts w:ascii="Sylfaen" w:hAnsi="Sylfaen" w:cs="Sylfaen"/>
          <w:sz w:val="24"/>
          <w:szCs w:val="24"/>
          <w:lang w:val="hy-AM"/>
        </w:rPr>
        <w:t xml:space="preserve">Երևան քաղաքի </w:t>
      </w:r>
      <w:r w:rsidRPr="005C3EEC">
        <w:rPr>
          <w:rFonts w:ascii="Sylfaen" w:hAnsi="Sylfaen" w:cs="Sylfaen"/>
          <w:sz w:val="24"/>
          <w:szCs w:val="24"/>
          <w:lang w:val="hy-AM"/>
        </w:rPr>
        <w:t xml:space="preserve">առաջին ատյանի ընդհանուր իրավասության </w:t>
      </w:r>
      <w:r>
        <w:rPr>
          <w:rFonts w:ascii="Sylfaen" w:hAnsi="Sylfaen" w:cs="Sylfaen"/>
          <w:sz w:val="24"/>
          <w:szCs w:val="24"/>
          <w:lang w:val="hy-AM"/>
        </w:rPr>
        <w:t xml:space="preserve">քաղաքացիական </w:t>
      </w:r>
      <w:r w:rsidRPr="005C3EEC">
        <w:rPr>
          <w:rFonts w:ascii="Sylfaen" w:hAnsi="Sylfaen" w:cs="Sylfaen"/>
          <w:sz w:val="24"/>
          <w:szCs w:val="24"/>
          <w:lang w:val="hy-AM"/>
        </w:rPr>
        <w:t xml:space="preserve">դատարանի դատավոր </w:t>
      </w:r>
      <w:r>
        <w:rPr>
          <w:rFonts w:ascii="Sylfaen" w:hAnsi="Sylfaen" w:cs="Sylfaen"/>
          <w:sz w:val="24"/>
          <w:szCs w:val="24"/>
          <w:lang w:val="hy-AM"/>
        </w:rPr>
        <w:t>Լիզա Գրիգորյանս</w:t>
      </w:r>
      <w:r w:rsidRPr="005C3EEC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B415E">
        <w:rPr>
          <w:rFonts w:ascii="Sylfaen" w:hAnsi="Sylfaen" w:cs="Sylfaen"/>
          <w:sz w:val="24"/>
          <w:szCs w:val="24"/>
          <w:lang w:val="hy-AM"/>
        </w:rPr>
        <w:t xml:space="preserve">ուսումնասիրելով </w:t>
      </w:r>
      <w:r>
        <w:rPr>
          <w:rFonts w:ascii="Sylfaen" w:hAnsi="Sylfaen" w:cs="Sylfaen"/>
          <w:sz w:val="24"/>
          <w:szCs w:val="24"/>
          <w:lang w:val="hy-AM"/>
        </w:rPr>
        <w:t>«ԿԱՊԻՏԱԼ ԴԻԶԱՅՆ»</w:t>
      </w:r>
      <w:r w:rsidRPr="00CB415E">
        <w:rPr>
          <w:rFonts w:ascii="Sylfaen" w:hAnsi="Sylfaen" w:cs="Sylfaen"/>
          <w:sz w:val="24"/>
          <w:szCs w:val="24"/>
          <w:lang w:val="hy-AM"/>
        </w:rPr>
        <w:t xml:space="preserve"> ՍՊ ընկերության ընդդեմ </w:t>
      </w:r>
      <w:r>
        <w:rPr>
          <w:rFonts w:ascii="Sylfaen" w:hAnsi="Sylfaen" w:cs="Sylfaen"/>
          <w:sz w:val="24"/>
          <w:szCs w:val="24"/>
          <w:lang w:val="hy-AM"/>
        </w:rPr>
        <w:t>Երևանի քաղաքապետարանի, վեճի առարկայի նկատմամբ ինքնուրույն պահանջ չներկայացնող երրորդ անձ՝ ՀՀ ֆինանսների նախարարության՝ «ԿԱՊԻՏԱԼ ԴԻԶԱՅՆ»</w:t>
      </w:r>
      <w:r w:rsidRPr="00CB415E">
        <w:rPr>
          <w:rFonts w:ascii="Sylfaen" w:hAnsi="Sylfaen" w:cs="Sylfaen"/>
          <w:sz w:val="24"/>
          <w:szCs w:val="24"/>
          <w:lang w:val="hy-AM"/>
        </w:rPr>
        <w:t xml:space="preserve"> ՍՊ</w:t>
      </w:r>
      <w:r>
        <w:rPr>
          <w:rFonts w:ascii="Sylfaen" w:hAnsi="Sylfaen" w:cs="Sylfaen"/>
          <w:sz w:val="24"/>
          <w:szCs w:val="24"/>
          <w:lang w:val="hy-AM"/>
        </w:rPr>
        <w:t xml:space="preserve">Ը-ին գնումների գործընթացին մասնակցելու իրավունք չունեցող մասնակիցների ցուցակում ներառելու մասին Երևանի քաղաքապետի առաջին տեղեկալ, Երևանի քաղաքապետի պաշտոնակատար՝ Լևոն Հովհաննիսյանի 10.04.2023թ. կայացրած 774-Ա որոշումն անվավեր ճանաչելու պահանջի վերաբերյալ </w:t>
      </w:r>
      <w:r w:rsidRPr="00CB415E">
        <w:rPr>
          <w:rFonts w:ascii="Sylfaen" w:hAnsi="Sylfaen" w:cs="Sylfaen"/>
          <w:sz w:val="24"/>
          <w:szCs w:val="24"/>
          <w:lang w:val="hy-AM"/>
        </w:rPr>
        <w:t>հայցադիմումը և դրան կից ներկայացված փաստաթղթերը.</w:t>
      </w:r>
    </w:p>
    <w:p w14:paraId="3CBB29D5" w14:textId="77777777" w:rsidR="00C16199" w:rsidRPr="005C3EEC" w:rsidRDefault="00C16199" w:rsidP="00C16199">
      <w:pPr>
        <w:tabs>
          <w:tab w:val="left" w:pos="7920"/>
        </w:tabs>
        <w:spacing w:after="0" w:line="240" w:lineRule="auto"/>
        <w:ind w:firstLine="72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5C3EEC">
        <w:rPr>
          <w:rFonts w:ascii="Sylfaen" w:hAnsi="Sylfaen" w:cs="Sylfaen"/>
          <w:b/>
          <w:sz w:val="24"/>
          <w:szCs w:val="24"/>
          <w:lang w:val="hy-AM"/>
        </w:rPr>
        <w:t>Պ Ա Ր Զ Ե Ց Ի</w:t>
      </w:r>
    </w:p>
    <w:p w14:paraId="7340A26C" w14:textId="77777777" w:rsidR="00C16199" w:rsidRPr="000C7F83" w:rsidRDefault="00C16199" w:rsidP="00C16199">
      <w:pPr>
        <w:tabs>
          <w:tab w:val="left" w:pos="7920"/>
        </w:tabs>
        <w:spacing w:after="0" w:line="240" w:lineRule="auto"/>
        <w:ind w:firstLine="720"/>
        <w:jc w:val="center"/>
        <w:rPr>
          <w:rFonts w:ascii="Sylfaen" w:hAnsi="Sylfaen" w:cs="Sylfaen"/>
          <w:b/>
          <w:sz w:val="12"/>
          <w:szCs w:val="24"/>
          <w:lang w:val="hy-AM"/>
        </w:rPr>
      </w:pPr>
    </w:p>
    <w:p w14:paraId="11A40578" w14:textId="77777777" w:rsidR="00C16199" w:rsidRDefault="00C16199" w:rsidP="00C16199">
      <w:pPr>
        <w:tabs>
          <w:tab w:val="left" w:pos="7920"/>
        </w:tabs>
        <w:spacing w:after="0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CB415E">
        <w:rPr>
          <w:rFonts w:ascii="Sylfaen" w:hAnsi="Sylfaen" w:cs="Sylfaen"/>
          <w:sz w:val="24"/>
          <w:szCs w:val="24"/>
          <w:lang w:val="hy-AM"/>
        </w:rPr>
        <w:t>202</w:t>
      </w:r>
      <w:r>
        <w:rPr>
          <w:rFonts w:ascii="Sylfaen" w:hAnsi="Sylfaen" w:cs="Sylfaen"/>
          <w:sz w:val="24"/>
          <w:szCs w:val="24"/>
          <w:lang w:val="hy-AM"/>
        </w:rPr>
        <w:t xml:space="preserve">3 </w:t>
      </w:r>
      <w:r w:rsidRPr="00CB415E">
        <w:rPr>
          <w:rFonts w:ascii="Sylfaen" w:hAnsi="Sylfaen" w:cs="Sylfaen"/>
          <w:sz w:val="24"/>
          <w:szCs w:val="24"/>
          <w:lang w:val="hy-AM"/>
        </w:rPr>
        <w:t>թ</w:t>
      </w:r>
      <w:r>
        <w:rPr>
          <w:rFonts w:ascii="Sylfaen" w:hAnsi="Sylfaen" w:cs="Sylfaen"/>
          <w:sz w:val="24"/>
          <w:szCs w:val="24"/>
          <w:lang w:val="hy-AM"/>
        </w:rPr>
        <w:t xml:space="preserve">վականի </w:t>
      </w:r>
      <w:r w:rsidRPr="00CB415E">
        <w:rPr>
          <w:rFonts w:ascii="Sylfaen" w:hAnsi="Sylfaen" w:cs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մայիսի 11</w:t>
      </w:r>
      <w:r w:rsidRPr="00CB415E">
        <w:rPr>
          <w:rFonts w:ascii="Sylfaen" w:hAnsi="Sylfaen" w:cs="Sylfaen"/>
          <w:sz w:val="24"/>
          <w:szCs w:val="24"/>
          <w:lang w:val="hy-AM"/>
        </w:rPr>
        <w:t xml:space="preserve">-ին </w:t>
      </w:r>
      <w:r>
        <w:rPr>
          <w:rFonts w:ascii="Sylfaen" w:hAnsi="Sylfaen" w:cs="Sylfaen"/>
          <w:sz w:val="24"/>
          <w:szCs w:val="24"/>
          <w:lang w:val="hy-AM"/>
        </w:rPr>
        <w:t>«ԿԱՊԻՏԱԼ ԴԻԶԱՅՆ»</w:t>
      </w:r>
      <w:r w:rsidRPr="00CB415E">
        <w:rPr>
          <w:rFonts w:ascii="Sylfaen" w:hAnsi="Sylfaen" w:cs="Sylfaen"/>
          <w:sz w:val="24"/>
          <w:szCs w:val="24"/>
          <w:lang w:val="hy-AM"/>
        </w:rPr>
        <w:t xml:space="preserve"> ՍՊ ընկերության </w:t>
      </w:r>
      <w:r>
        <w:rPr>
          <w:rFonts w:ascii="Sylfaen" w:hAnsi="Sylfaen" w:cs="Sylfaen"/>
          <w:sz w:val="24"/>
          <w:szCs w:val="24"/>
          <w:lang w:val="hy-AM"/>
        </w:rPr>
        <w:t>տնօրեն՝ Էդուարդ Դավթյանը</w:t>
      </w:r>
      <w:r w:rsidRPr="00CB415E">
        <w:rPr>
          <w:rFonts w:ascii="Sylfaen" w:hAnsi="Sylfaen" w:cs="Sylfaen"/>
          <w:sz w:val="24"/>
          <w:szCs w:val="24"/>
          <w:lang w:val="hy-AM"/>
        </w:rPr>
        <w:t xml:space="preserve"> հայցադիմում է ներկայացրել </w:t>
      </w:r>
      <w:r>
        <w:rPr>
          <w:rFonts w:ascii="Sylfaen" w:hAnsi="Sylfaen" w:cs="Sylfaen"/>
          <w:sz w:val="24"/>
          <w:szCs w:val="24"/>
          <w:lang w:val="hy-AM"/>
        </w:rPr>
        <w:t xml:space="preserve">Երևան քաղաքի առաջին ատյանի ընդհանուր իրավասության քաղաքացիական </w:t>
      </w:r>
      <w:r w:rsidRPr="00CB415E">
        <w:rPr>
          <w:rFonts w:ascii="Sylfaen" w:hAnsi="Sylfaen" w:cs="Sylfaen"/>
          <w:sz w:val="24"/>
          <w:szCs w:val="24"/>
          <w:lang w:val="hy-AM"/>
        </w:rPr>
        <w:t xml:space="preserve">դատարան ընդդեմ </w:t>
      </w:r>
      <w:r>
        <w:rPr>
          <w:rFonts w:ascii="Sylfaen" w:hAnsi="Sylfaen" w:cs="Sylfaen"/>
          <w:sz w:val="24"/>
          <w:szCs w:val="24"/>
          <w:lang w:val="hy-AM"/>
        </w:rPr>
        <w:t>Երևանի քաղաքապետարանի, վեճի առարկայի նկատմամբ ինքնուրույն պահանջ չներկայացնող երրորդ անձ՝ ՀՀ ֆինանսների նախարարության՝ «ԿԱՊԻՏԱԼ ԴԻԶԱՅՆ»</w:t>
      </w:r>
      <w:r w:rsidRPr="00CB415E">
        <w:rPr>
          <w:rFonts w:ascii="Sylfaen" w:hAnsi="Sylfaen" w:cs="Sylfaen"/>
          <w:sz w:val="24"/>
          <w:szCs w:val="24"/>
          <w:lang w:val="hy-AM"/>
        </w:rPr>
        <w:t xml:space="preserve"> ՍՊ</w:t>
      </w:r>
      <w:r>
        <w:rPr>
          <w:rFonts w:ascii="Sylfaen" w:hAnsi="Sylfaen" w:cs="Sylfaen"/>
          <w:sz w:val="24"/>
          <w:szCs w:val="24"/>
          <w:lang w:val="hy-AM"/>
        </w:rPr>
        <w:t>Ը-ին գնումների գործընթացին մասնակցելու իրավունք չունեցող մասնակիցների ցուցակում ներառելու մասին Երևանի քաղաքապետի առաջին տեղեկալ, Երևանի քաղաքապետի պաշտոնակատար՝ Լևոն Հովհաննիսյանի 10.04.2023թ. կայացրած 774-Ա որոշումն անվավեր ճանաչելու պահանջի վերաբերյալ</w:t>
      </w:r>
      <w:r w:rsidRPr="00CB415E">
        <w:rPr>
          <w:rFonts w:ascii="Sylfaen" w:hAnsi="Sylfaen" w:cs="Sylfaen"/>
          <w:sz w:val="24"/>
          <w:szCs w:val="24"/>
          <w:lang w:val="hy-AM"/>
        </w:rPr>
        <w:t>:</w:t>
      </w:r>
    </w:p>
    <w:p w14:paraId="5C72865D" w14:textId="77777777" w:rsidR="00C16199" w:rsidRDefault="00C16199" w:rsidP="00C16199">
      <w:pPr>
        <w:tabs>
          <w:tab w:val="left" w:pos="7920"/>
        </w:tabs>
        <w:spacing w:after="0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 xml:space="preserve">Հայցադիմումը և կից փաստաթղթերը 11.05.2023 թվականին մուտքագրվել է դատարան և նույն օրը մակագրվել է </w:t>
      </w:r>
      <w:r w:rsidRPr="005C3EEC">
        <w:rPr>
          <w:rFonts w:ascii="Sylfaen" w:hAnsi="Sylfaen" w:cs="Sylfaen"/>
          <w:sz w:val="24"/>
          <w:szCs w:val="24"/>
          <w:lang w:val="hy-AM"/>
        </w:rPr>
        <w:t xml:space="preserve">ՀՀ </w:t>
      </w:r>
      <w:r>
        <w:rPr>
          <w:rFonts w:ascii="Sylfaen" w:hAnsi="Sylfaen" w:cs="Sylfaen"/>
          <w:sz w:val="24"/>
          <w:szCs w:val="24"/>
          <w:lang w:val="hy-AM"/>
        </w:rPr>
        <w:t xml:space="preserve">Երևան քաղաքի </w:t>
      </w:r>
      <w:r w:rsidRPr="005C3EEC">
        <w:rPr>
          <w:rFonts w:ascii="Sylfaen" w:hAnsi="Sylfaen" w:cs="Sylfaen"/>
          <w:sz w:val="24"/>
          <w:szCs w:val="24"/>
          <w:lang w:val="hy-AM"/>
        </w:rPr>
        <w:t>առաջին ատյանի ընդհանուր իրավասության</w:t>
      </w:r>
      <w:r>
        <w:rPr>
          <w:rFonts w:ascii="Sylfaen" w:hAnsi="Sylfaen" w:cs="Sylfaen"/>
          <w:sz w:val="24"/>
          <w:szCs w:val="24"/>
          <w:lang w:val="hy-AM"/>
        </w:rPr>
        <w:t xml:space="preserve"> քաղաքացիական</w:t>
      </w:r>
      <w:r w:rsidRPr="005C3EEC">
        <w:rPr>
          <w:rFonts w:ascii="Sylfaen" w:hAnsi="Sylfaen" w:cs="Sylfaen"/>
          <w:sz w:val="24"/>
          <w:szCs w:val="24"/>
          <w:lang w:val="hy-AM"/>
        </w:rPr>
        <w:t xml:space="preserve"> դատարանի դատավոր</w:t>
      </w:r>
      <w:r>
        <w:rPr>
          <w:rFonts w:ascii="Sylfaen" w:hAnsi="Sylfaen" w:cs="Sylfaen"/>
          <w:sz w:val="24"/>
          <w:szCs w:val="24"/>
          <w:lang w:val="hy-AM"/>
        </w:rPr>
        <w:t>՝ Լ.Գրիգորյանին:</w:t>
      </w:r>
    </w:p>
    <w:p w14:paraId="30997959" w14:textId="77777777" w:rsidR="00C16199" w:rsidRDefault="00C16199" w:rsidP="00C16199">
      <w:pPr>
        <w:tabs>
          <w:tab w:val="left" w:pos="7920"/>
        </w:tabs>
        <w:spacing w:after="0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CB415E">
        <w:rPr>
          <w:rFonts w:ascii="Sylfaen" w:hAnsi="Sylfaen" w:cs="Sylfaen"/>
          <w:sz w:val="24"/>
          <w:szCs w:val="24"/>
          <w:lang w:val="hy-AM"/>
        </w:rPr>
        <w:t>Հայցվոր</w:t>
      </w:r>
      <w:r>
        <w:rPr>
          <w:rFonts w:ascii="Sylfaen" w:hAnsi="Sylfaen" w:cs="Sylfaen"/>
          <w:sz w:val="24"/>
          <w:szCs w:val="24"/>
          <w:lang w:val="hy-AM"/>
        </w:rPr>
        <w:t xml:space="preserve"> կողմը</w:t>
      </w:r>
      <w:r w:rsidRPr="00CB415E">
        <w:rPr>
          <w:rFonts w:ascii="Sylfaen" w:hAnsi="Sylfaen" w:cs="Sylfaen"/>
          <w:sz w:val="24"/>
          <w:szCs w:val="24"/>
          <w:lang w:val="hy-AM"/>
        </w:rPr>
        <w:t xml:space="preserve"> ներկայացրել է նաև միջնորդություն՝ գործը դատական նիստում քննության առնելու մասին:</w:t>
      </w:r>
    </w:p>
    <w:p w14:paraId="0AD123D3" w14:textId="77777777" w:rsidR="00C16199" w:rsidRDefault="00C16199" w:rsidP="00C16199">
      <w:pPr>
        <w:tabs>
          <w:tab w:val="left" w:pos="7920"/>
        </w:tabs>
        <w:spacing w:after="0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lastRenderedPageBreak/>
        <w:t>Հայցադիմումը և կից փաստաթղթերը դատավորի աշխատակազմին է հանձնվել 16.05.2023 թվականին:</w:t>
      </w:r>
    </w:p>
    <w:p w14:paraId="14581CFD" w14:textId="77777777" w:rsidR="00C16199" w:rsidRPr="000C7F83" w:rsidRDefault="00C16199" w:rsidP="00C16199">
      <w:pPr>
        <w:tabs>
          <w:tab w:val="left" w:pos="7920"/>
        </w:tabs>
        <w:spacing w:after="0"/>
        <w:ind w:firstLine="720"/>
        <w:jc w:val="both"/>
        <w:rPr>
          <w:rFonts w:ascii="Sylfaen" w:hAnsi="Sylfaen" w:cs="Sylfaen"/>
          <w:sz w:val="6"/>
          <w:szCs w:val="24"/>
          <w:lang w:val="hy-AM"/>
        </w:rPr>
      </w:pPr>
    </w:p>
    <w:p w14:paraId="135CC664" w14:textId="77777777" w:rsidR="00C16199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 w:rsidRPr="008F783C">
        <w:rPr>
          <w:rFonts w:ascii="Sylfaen" w:hAnsi="Sylfaen" w:cs="Sylfaen"/>
          <w:sz w:val="24"/>
          <w:szCs w:val="24"/>
          <w:lang w:val="hy-AM"/>
        </w:rPr>
        <w:t>Դատարանն արձանագրում է, որ հայցադիմումը ներկայացված է ՀՀ քաղաքացիա</w:t>
      </w:r>
      <w:r w:rsidRPr="008F783C">
        <w:rPr>
          <w:rFonts w:ascii="Sylfaen" w:hAnsi="Sylfaen" w:cs="Sylfaen"/>
          <w:sz w:val="24"/>
          <w:szCs w:val="24"/>
          <w:lang w:val="hy-AM"/>
        </w:rPr>
        <w:softHyphen/>
        <w:t>կան դատավարության օրենսգրքի 121-րդ և 122-րդ հոդվածների պահանջներին համապատաս</w:t>
      </w:r>
      <w:r w:rsidRPr="008F783C">
        <w:rPr>
          <w:rFonts w:ascii="Sylfaen" w:hAnsi="Sylfaen" w:cs="Sylfaen"/>
          <w:sz w:val="24"/>
          <w:szCs w:val="24"/>
          <w:lang w:val="hy-AM"/>
        </w:rPr>
        <w:softHyphen/>
        <w:t xml:space="preserve">խան և բացակայում են նույն օրենսգրքի 126-րդ և 127-րդ հոդվածներով սահմանված հայցադիմումի ընդունումը մերժելու կամ վերադարձնելու հիմքերը: </w:t>
      </w:r>
    </w:p>
    <w:p w14:paraId="6933B1CF" w14:textId="77777777" w:rsidR="00C16199" w:rsidRPr="000C7F83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6"/>
          <w:szCs w:val="24"/>
          <w:lang w:val="hy-AM"/>
        </w:rPr>
      </w:pPr>
    </w:p>
    <w:p w14:paraId="7F3936F9" w14:textId="77777777" w:rsidR="00C16199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 w:rsidRPr="008F783C">
        <w:rPr>
          <w:rFonts w:ascii="Sylfaen" w:hAnsi="Sylfaen" w:cs="Sylfaen"/>
          <w:sz w:val="24"/>
          <w:szCs w:val="24"/>
          <w:lang w:val="hy-AM"/>
        </w:rPr>
        <w:t>Դատարանն գտնում է, որ սույն վեճը քննության է ենթակա ՀՀ քաղաքացիա</w:t>
      </w:r>
      <w:r w:rsidRPr="008F783C">
        <w:rPr>
          <w:rFonts w:ascii="Sylfaen" w:hAnsi="Sylfaen" w:cs="Sylfaen"/>
          <w:sz w:val="24"/>
          <w:szCs w:val="24"/>
          <w:lang w:val="hy-AM"/>
        </w:rPr>
        <w:softHyphen/>
        <w:t>կան դատավարության օրենսգրքի 27.2 գլխով սահմանված հատուկ հայցային վարույթի կարգով, որպիսի պարագայում՝ հիմք ընդունելով ՀՀ քաղաքացիա</w:t>
      </w:r>
      <w:r w:rsidRPr="008F783C">
        <w:rPr>
          <w:rFonts w:ascii="Sylfaen" w:hAnsi="Sylfaen" w:cs="Sylfaen"/>
          <w:sz w:val="24"/>
          <w:szCs w:val="24"/>
          <w:lang w:val="hy-AM"/>
        </w:rPr>
        <w:softHyphen/>
        <w:t>կան դատավարության օրենսգրքի 234.6-րդ հոդվածը, անհրաժեշտ է Պատասխանողից պահանջել գնման գործընթացի հետ կապված պատասխանողի տիրապետման տակ գտնվող բոլոր ապացույցները:</w:t>
      </w:r>
    </w:p>
    <w:p w14:paraId="50FEFA6C" w14:textId="77777777" w:rsidR="00C16199" w:rsidRPr="000C7F83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6"/>
          <w:szCs w:val="24"/>
          <w:lang w:val="hy-AM"/>
        </w:rPr>
      </w:pPr>
    </w:p>
    <w:p w14:paraId="60D9E6C3" w14:textId="77777777" w:rsidR="00C16199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 w:rsidRPr="008F783C">
        <w:rPr>
          <w:rFonts w:ascii="Sylfaen" w:hAnsi="Sylfaen" w:cs="Sylfaen"/>
          <w:sz w:val="24"/>
          <w:szCs w:val="24"/>
          <w:lang w:val="hy-AM"/>
        </w:rPr>
        <w:t>Անդրադառնալով գործը դատական նիստում քննության առնելու մասին հայցվորի միջնորդությանը, ապա դատարանը գտնում է, որ այն ենթակա է բավարարման՝ հետևյալ հիմնավորմամբ.</w:t>
      </w:r>
    </w:p>
    <w:p w14:paraId="2276A567" w14:textId="77777777" w:rsidR="00C16199" w:rsidRPr="000C7F83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6"/>
          <w:szCs w:val="24"/>
          <w:lang w:val="hy-AM"/>
        </w:rPr>
      </w:pPr>
    </w:p>
    <w:p w14:paraId="3CB41CBC" w14:textId="77777777" w:rsidR="00C16199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 w:rsidRPr="008F783C">
        <w:rPr>
          <w:rFonts w:ascii="Sylfaen" w:hAnsi="Sylfaen" w:cs="Sylfaen"/>
          <w:sz w:val="24"/>
          <w:szCs w:val="24"/>
          <w:lang w:val="hy-AM"/>
        </w:rPr>
        <w:t>ՀՀ քաղաքացիա</w:t>
      </w:r>
      <w:r w:rsidRPr="008F783C">
        <w:rPr>
          <w:rFonts w:ascii="Sylfaen" w:hAnsi="Sylfaen" w:cs="Sylfaen"/>
          <w:sz w:val="24"/>
          <w:szCs w:val="24"/>
          <w:lang w:val="hy-AM"/>
        </w:rPr>
        <w:softHyphen/>
        <w:t xml:space="preserve">կան դատավարության օրենսգրքի 234.9-րդ հոդվածի համաձայն՝ դատարանը սույն գլխով նախատեսված վեճերով գործերը քննում և դրանց վերաբերյալ վճիռները և որոշումները կայացնում է գրավոր ընթացակարգով, բացառությամբ այն դեպքերի, երբ դատարանը գործին մասնակցող անձի միջնորդությամբ կամ իր նախաձեռնությամբ եկել է եզրահանգման, որ անհրաժեշտ է գործը քննել դատական նիստում: </w:t>
      </w:r>
    </w:p>
    <w:p w14:paraId="64BF3A9A" w14:textId="77777777" w:rsidR="00C16199" w:rsidRPr="000C7F83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6"/>
          <w:szCs w:val="24"/>
          <w:lang w:val="hy-AM"/>
        </w:rPr>
      </w:pPr>
    </w:p>
    <w:p w14:paraId="17380BC7" w14:textId="77777777" w:rsidR="00C16199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 w:rsidRPr="008F783C">
        <w:rPr>
          <w:rFonts w:ascii="Sylfaen" w:hAnsi="Sylfaen" w:cs="Sylfaen"/>
          <w:sz w:val="24"/>
          <w:szCs w:val="24"/>
          <w:lang w:val="hy-AM"/>
        </w:rPr>
        <w:t>Նույն հոդվածի 4-րդ մասի համաձայն՝ գործը դատական նիստում քննելու հարցը կարող է լուծվել նաև հայցադիմումը վարույթ ընդունելու մասին որոշմամբ:</w:t>
      </w:r>
    </w:p>
    <w:p w14:paraId="5C287EFF" w14:textId="77777777" w:rsidR="00C16199" w:rsidRPr="000C7F83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6"/>
          <w:szCs w:val="24"/>
          <w:lang w:val="hy-AM"/>
        </w:rPr>
      </w:pPr>
    </w:p>
    <w:p w14:paraId="189CF533" w14:textId="77777777" w:rsidR="00C16199" w:rsidRPr="008F783C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 w:rsidRPr="008F783C">
        <w:rPr>
          <w:rFonts w:ascii="Sylfaen" w:hAnsi="Sylfaen" w:cs="Sylfaen"/>
          <w:sz w:val="24"/>
          <w:szCs w:val="24"/>
          <w:lang w:val="hy-AM"/>
        </w:rPr>
        <w:t>Տվյալ դեպքու</w:t>
      </w:r>
      <w:r w:rsidRPr="004A3CD1">
        <w:rPr>
          <w:rFonts w:ascii="Sylfaen" w:hAnsi="Sylfaen" w:cs="Sylfaen"/>
          <w:sz w:val="24"/>
          <w:szCs w:val="24"/>
          <w:lang w:val="hy-AM"/>
        </w:rPr>
        <w:t>մ</w:t>
      </w:r>
      <w:r w:rsidRPr="008F783C">
        <w:rPr>
          <w:rFonts w:ascii="Sylfaen" w:hAnsi="Sylfaen" w:cs="Sylfaen"/>
          <w:sz w:val="24"/>
          <w:szCs w:val="24"/>
          <w:lang w:val="hy-AM"/>
        </w:rPr>
        <w:t xml:space="preserve">, ելնելով ներկայացված վեճի և հայցապահանջների բովանդակությունից, առկա է կողմերի հետ գործի լուծման համար էական նշանակություն ունեցող փաստերի քննության անհրաժեշտություն, որպիսի պարագայում առկա է առնվազն մեկ դատական նիստ անցկացնելու անհրաժեշտություն: </w:t>
      </w:r>
    </w:p>
    <w:p w14:paraId="587762F8" w14:textId="77777777" w:rsidR="00C16199" w:rsidRPr="000C7F83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6"/>
          <w:szCs w:val="24"/>
          <w:lang w:val="hy-AM"/>
        </w:rPr>
      </w:pPr>
    </w:p>
    <w:p w14:paraId="771C9BD5" w14:textId="77777777" w:rsidR="00C16199" w:rsidRPr="004A3CD1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 w:rsidRPr="004A3CD1">
        <w:rPr>
          <w:rFonts w:ascii="Sylfaen" w:hAnsi="Sylfaen" w:cs="Sylfaen"/>
          <w:sz w:val="24"/>
          <w:szCs w:val="24"/>
          <w:lang w:val="hy-AM"/>
        </w:rPr>
        <w:t>Ելնելով վերոգրյալից և ղեկավարվելով ՀՀ քաղաքացիական դատավարության օրենսգրքի 124, 125, 234.5 և 234.6, 234.9, 199-200 հոդվածներով`</w:t>
      </w:r>
    </w:p>
    <w:p w14:paraId="1F932F1F" w14:textId="77777777" w:rsidR="00C16199" w:rsidRPr="004A3CD1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8"/>
          <w:szCs w:val="24"/>
          <w:lang w:val="hy-AM"/>
        </w:rPr>
      </w:pPr>
    </w:p>
    <w:p w14:paraId="6C836BBC" w14:textId="77777777" w:rsidR="00C16199" w:rsidRPr="004A3CD1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4A3CD1">
        <w:rPr>
          <w:rFonts w:ascii="Sylfaen" w:hAnsi="Sylfaen" w:cs="Sylfaen"/>
          <w:b/>
          <w:sz w:val="24"/>
          <w:szCs w:val="24"/>
          <w:lang w:val="hy-AM"/>
        </w:rPr>
        <w:t>Ո Ր Ո Շ Ե Ց</w:t>
      </w:r>
    </w:p>
    <w:p w14:paraId="08C90356" w14:textId="77777777" w:rsidR="00C16199" w:rsidRPr="00110E0D" w:rsidRDefault="00C16199" w:rsidP="00C16199">
      <w:pPr>
        <w:spacing w:after="0"/>
        <w:ind w:left="-540" w:right="-5" w:firstLine="540"/>
        <w:jc w:val="both"/>
        <w:rPr>
          <w:rFonts w:ascii="Sylfaen" w:hAnsi="Sylfaen" w:cs="Sylfaen"/>
          <w:sz w:val="24"/>
          <w:szCs w:val="24"/>
          <w:lang w:val="it-IT"/>
        </w:rPr>
      </w:pPr>
      <w:r>
        <w:rPr>
          <w:rFonts w:ascii="Sylfaen" w:hAnsi="Sylfaen" w:cs="Sylfaen"/>
          <w:sz w:val="24"/>
          <w:szCs w:val="24"/>
          <w:lang w:val="hy-AM"/>
        </w:rPr>
        <w:t xml:space="preserve">            </w:t>
      </w:r>
    </w:p>
    <w:p w14:paraId="2291AD6C" w14:textId="77777777" w:rsidR="00C16199" w:rsidRPr="00721EA5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8"/>
          <w:szCs w:val="24"/>
          <w:lang w:val="it-IT"/>
        </w:rPr>
      </w:pPr>
    </w:p>
    <w:p w14:paraId="49B6BE08" w14:textId="77777777" w:rsidR="00C16199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lastRenderedPageBreak/>
        <w:t>1</w:t>
      </w:r>
      <w:r w:rsidRPr="004A3CD1">
        <w:rPr>
          <w:rFonts w:ascii="Sylfaen" w:hAnsi="Sylfaen" w:cs="Sylfaen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Ըստ  հայցի «ԿԱՊԻՏԱԼ ԴԻԶԱՅՆ»</w:t>
      </w:r>
      <w:r w:rsidRPr="00CB415E">
        <w:rPr>
          <w:rFonts w:ascii="Sylfaen" w:hAnsi="Sylfaen" w:cs="Sylfaen"/>
          <w:sz w:val="24"/>
          <w:szCs w:val="24"/>
          <w:lang w:val="hy-AM"/>
        </w:rPr>
        <w:t xml:space="preserve"> ՍՊ ընկերության ընդդեմ </w:t>
      </w:r>
      <w:r>
        <w:rPr>
          <w:rFonts w:ascii="Sylfaen" w:hAnsi="Sylfaen" w:cs="Sylfaen"/>
          <w:sz w:val="24"/>
          <w:szCs w:val="24"/>
          <w:lang w:val="hy-AM"/>
        </w:rPr>
        <w:t>Երևանի քաղաքապետարանի, վեճի առարկայի նկատմամբ ինքնուրույն պահանջ չներկայացնող երրորդ անձ՝ ՀՀ ֆինանսների նախարարության՝ «ԿԱՊԻՏԱԼ ԴԻԶԱՅՆ»</w:t>
      </w:r>
      <w:r w:rsidRPr="00CB415E">
        <w:rPr>
          <w:rFonts w:ascii="Sylfaen" w:hAnsi="Sylfaen" w:cs="Sylfaen"/>
          <w:sz w:val="24"/>
          <w:szCs w:val="24"/>
          <w:lang w:val="hy-AM"/>
        </w:rPr>
        <w:t xml:space="preserve"> ՍՊ</w:t>
      </w:r>
      <w:r>
        <w:rPr>
          <w:rFonts w:ascii="Sylfaen" w:hAnsi="Sylfaen" w:cs="Sylfaen"/>
          <w:sz w:val="24"/>
          <w:szCs w:val="24"/>
          <w:lang w:val="hy-AM"/>
        </w:rPr>
        <w:t xml:space="preserve">Ը-ին գնումների գործընթացին մասնակցելու իրավունք չունեցող մասնակիցների ցուցակում ներառելու մասին Երևանի քաղաքապետի առաջին տեղեկալ, Երևանի քաղաքապետի պաշտոնակատար՝ Լևոն Հովհաննիսյանի 10.04.2023թ. կայացրած 774-Ա որոշումն անվավեր ճանաչելու պահանջի վերաբերյալ </w:t>
      </w:r>
      <w:r w:rsidRPr="004A3CD1">
        <w:rPr>
          <w:rFonts w:ascii="Sylfaen" w:hAnsi="Sylfaen" w:cs="Sylfaen"/>
          <w:sz w:val="24"/>
          <w:szCs w:val="24"/>
          <w:lang w:val="hy-AM"/>
        </w:rPr>
        <w:t>հայցադիմումն ընդունել վարույթ:</w:t>
      </w:r>
    </w:p>
    <w:p w14:paraId="02A522C9" w14:textId="77777777" w:rsidR="00C16199" w:rsidRPr="000C7F83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6"/>
          <w:szCs w:val="24"/>
          <w:lang w:val="hy-AM"/>
        </w:rPr>
      </w:pPr>
    </w:p>
    <w:p w14:paraId="14341F63" w14:textId="77777777" w:rsidR="00C16199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2</w:t>
      </w:r>
      <w:r w:rsidRPr="004A3CD1">
        <w:rPr>
          <w:rFonts w:ascii="Sylfaen" w:hAnsi="Sylfaen" w:cs="Sylfaen"/>
          <w:sz w:val="24"/>
          <w:szCs w:val="24"/>
          <w:lang w:val="hy-AM"/>
        </w:rPr>
        <w:t xml:space="preserve">. Պատասխանող </w:t>
      </w:r>
      <w:r>
        <w:rPr>
          <w:rFonts w:ascii="Sylfaen" w:hAnsi="Sylfaen" w:cs="Sylfaen"/>
          <w:sz w:val="24"/>
          <w:szCs w:val="24"/>
          <w:lang w:val="hy-AM"/>
        </w:rPr>
        <w:t>Երևանի քաղաքապետարանից</w:t>
      </w:r>
      <w:r w:rsidRPr="004A3CD1">
        <w:rPr>
          <w:rFonts w:ascii="Sylfaen" w:hAnsi="Sylfaen" w:cs="Sylfaen"/>
          <w:sz w:val="24"/>
          <w:szCs w:val="24"/>
          <w:lang w:val="hy-AM"/>
        </w:rPr>
        <w:t xml:space="preserve"> պահանջել գնման գործընթացի հետ կապված պատասխանողի տիրապետման տակ գտնվող բոլոր ապացույցները:</w:t>
      </w:r>
    </w:p>
    <w:p w14:paraId="2EA4CC72" w14:textId="77777777" w:rsidR="00C16199" w:rsidRPr="000C7F83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6"/>
          <w:szCs w:val="24"/>
          <w:lang w:val="hy-AM"/>
        </w:rPr>
      </w:pPr>
    </w:p>
    <w:p w14:paraId="0343F3BB" w14:textId="77777777" w:rsidR="00C16199" w:rsidRPr="004A3CD1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3</w:t>
      </w:r>
      <w:r w:rsidRPr="004A3CD1">
        <w:rPr>
          <w:rFonts w:ascii="Sylfaen" w:hAnsi="Sylfaen" w:cs="Sylfaen"/>
          <w:sz w:val="24"/>
          <w:szCs w:val="24"/>
          <w:lang w:val="hy-AM"/>
        </w:rPr>
        <w:t>. Պարզաբանել կողմերին, որ՝</w:t>
      </w:r>
    </w:p>
    <w:p w14:paraId="60E9F6E4" w14:textId="77777777" w:rsidR="00C16199" w:rsidRPr="004A3CD1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 w:rsidRPr="004A3CD1">
        <w:rPr>
          <w:rFonts w:ascii="Sylfaen" w:hAnsi="Sylfaen" w:cs="Sylfaen"/>
          <w:sz w:val="24"/>
          <w:szCs w:val="24"/>
          <w:lang w:val="hy-AM"/>
        </w:rPr>
        <w:t>- ապացույցներ պահանջելու վերաբերյալ որոշումը կատարվում է պատասխանողի կողմից որոշումն ստանալուց հետո՝ հնգօրյա ժամկետում, և այդ ժամկետում պատաս</w:t>
      </w:r>
      <w:r w:rsidRPr="004A3CD1">
        <w:rPr>
          <w:rFonts w:ascii="Sylfaen" w:hAnsi="Sylfaen" w:cs="Sylfaen"/>
          <w:sz w:val="24"/>
          <w:szCs w:val="24"/>
          <w:lang w:val="hy-AM"/>
        </w:rPr>
        <w:softHyphen/>
        <w:t>խանողի կողմից ապացույցներ պահանջելու վերաբերյալ որոշման պահանջները չկատար</w:t>
      </w:r>
      <w:r w:rsidRPr="004A3CD1">
        <w:rPr>
          <w:rFonts w:ascii="Sylfaen" w:hAnsi="Sylfaen" w:cs="Sylfaen"/>
          <w:sz w:val="24"/>
          <w:szCs w:val="24"/>
          <w:lang w:val="hy-AM"/>
        </w:rPr>
        <w:softHyphen/>
        <w:t>վելու դեպքում գործը քննվում է դրանում առկա ապացույցների հիման վրա, իսկ հայցվորի վկայակոչած այն փաստերը, որոնք ենթակա են հաստատման պատասխանողի տիրա</w:t>
      </w:r>
      <w:r w:rsidRPr="004A3CD1">
        <w:rPr>
          <w:rFonts w:ascii="Sylfaen" w:hAnsi="Sylfaen" w:cs="Sylfaen"/>
          <w:sz w:val="24"/>
          <w:szCs w:val="24"/>
          <w:lang w:val="hy-AM"/>
        </w:rPr>
        <w:softHyphen/>
        <w:t>պետման տակ գտնվող ապացույցներով, համարվում են հաստատված:</w:t>
      </w:r>
    </w:p>
    <w:p w14:paraId="0AB17E3F" w14:textId="77777777" w:rsidR="00C16199" w:rsidRPr="004A3CD1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 w:rsidRPr="004A3CD1">
        <w:rPr>
          <w:rFonts w:ascii="Sylfaen" w:hAnsi="Sylfaen" w:cs="Sylfaen"/>
          <w:sz w:val="24"/>
          <w:szCs w:val="24"/>
          <w:lang w:val="hy-AM"/>
        </w:rPr>
        <w:t>- վիճարկվող գործողությունների (անգործության) և որոշումների հիմքում ընկած հանգամանքների, ինչպես նաև տվյալ գործողությունների (անգործության) կատարման և որոշման ընդունման օրենքով, այլ իրավական ակտերով սահմանված կարգը պահպանված լինելու փաստերն ապացուցելու պարտականությունը կրում է պատասխանողը.</w:t>
      </w:r>
    </w:p>
    <w:p w14:paraId="5644F334" w14:textId="77777777" w:rsidR="00C16199" w:rsidRPr="004A3CD1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 w:rsidRPr="004A3CD1">
        <w:rPr>
          <w:rFonts w:ascii="Sylfaen" w:hAnsi="Sylfaen" w:cs="Sylfaen"/>
          <w:sz w:val="24"/>
          <w:szCs w:val="24"/>
          <w:lang w:val="hy-AM"/>
        </w:rPr>
        <w:t>- պատասխանողը վիճարկվող գործողությունների (անգործության) և որոշումների իրավաչափությունը հիմնավորող ապացույցներ կարող է ներկայացնել միայն ապացույց</w:t>
      </w:r>
      <w:r w:rsidRPr="004A3CD1">
        <w:rPr>
          <w:rFonts w:ascii="Sylfaen" w:hAnsi="Sylfaen" w:cs="Sylfaen"/>
          <w:sz w:val="24"/>
          <w:szCs w:val="24"/>
          <w:lang w:val="hy-AM"/>
        </w:rPr>
        <w:softHyphen/>
        <w:t>ները պահանջելու որոշման կատարման ընթացքում, բացառությամբ այն դեպքերի, երբ հիմնավորում է ապացույցի ներկայացման անհնարինությունը իրենից անկախ պատճառներով:</w:t>
      </w:r>
    </w:p>
    <w:p w14:paraId="2E32F433" w14:textId="77777777" w:rsidR="00C16199" w:rsidRPr="004A3CD1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 w:rsidRPr="004A3CD1">
        <w:rPr>
          <w:rFonts w:ascii="Sylfaen" w:hAnsi="Sylfaen" w:cs="Sylfaen"/>
          <w:sz w:val="24"/>
          <w:szCs w:val="24"/>
          <w:lang w:val="hy-AM"/>
        </w:rPr>
        <w:t>- հայցադիմումի պատասխանը ներկայացվում է հայցադիմումը վարույթ ընդունելու մասին որոշումն ստանալուց հետո՝ հնգօրյա ժամկետում:</w:t>
      </w:r>
    </w:p>
    <w:p w14:paraId="73CF07FD" w14:textId="77777777" w:rsidR="00C16199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 w:rsidRPr="004A3CD1">
        <w:rPr>
          <w:rFonts w:ascii="Sylfaen" w:hAnsi="Sylfaen" w:cs="Sylfaen"/>
          <w:sz w:val="24"/>
          <w:szCs w:val="24"/>
          <w:lang w:val="hy-AM"/>
        </w:rPr>
        <w:t xml:space="preserve">- քաղաքացիական դատավարության օրենսգրքի 234.11 հոդվածի համաձայն՝ պատվիրատուի և գնահատող հանձնաժողովի գործողությունների (անգործության) և որոշումների (բացառությամբ «Գնումների մասին» Հայաստանի Հանրապետության օրենքի 6-րդ հոդվածի 2-րդ մասով նախատեսված որոշումների) բողոքարկումն </w:t>
      </w:r>
      <w:r w:rsidRPr="004A3CD1">
        <w:rPr>
          <w:rFonts w:ascii="Sylfaen" w:hAnsi="Sylfaen" w:cs="Sylfaen"/>
          <w:sz w:val="24"/>
          <w:szCs w:val="24"/>
          <w:lang w:val="hy-AM"/>
        </w:rPr>
        <w:lastRenderedPageBreak/>
        <w:t>ինքնաբերաբար կասեցնում է գնման գործընթացը` սույն օրենսգրքի 234.6-րդ հոդվածի 5-րդ մասով նախատեսված որոշումը հրապարակվելու օրվանից մինչև վեճի քննության արդյունքներով առաջին ատյանի դատարանի կայացրած եզրափակիչ դատական ակտն ուժի մեջ մտնելու օրը:</w:t>
      </w:r>
    </w:p>
    <w:p w14:paraId="68726F57" w14:textId="77777777" w:rsidR="00C16199" w:rsidRPr="000C7F83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6"/>
          <w:szCs w:val="24"/>
          <w:lang w:val="hy-AM"/>
        </w:rPr>
      </w:pPr>
    </w:p>
    <w:p w14:paraId="09265552" w14:textId="77777777" w:rsidR="00C16199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6</w:t>
      </w:r>
      <w:r w:rsidRPr="004A3CD1">
        <w:rPr>
          <w:rFonts w:ascii="Sylfaen" w:hAnsi="Sylfaen" w:cs="Sylfaen"/>
          <w:sz w:val="24"/>
          <w:szCs w:val="24"/>
          <w:lang w:val="hy-AM"/>
        </w:rPr>
        <w:t xml:space="preserve">. Գործի քննությունն իրականացնել դատական նիստով, որը տեղի կունենա 2023թ. </w:t>
      </w:r>
      <w:r>
        <w:rPr>
          <w:rFonts w:ascii="Sylfaen" w:hAnsi="Sylfaen" w:cs="Sylfaen"/>
          <w:sz w:val="24"/>
          <w:szCs w:val="24"/>
          <w:lang w:val="hy-AM"/>
        </w:rPr>
        <w:t>հունիսի 19</w:t>
      </w:r>
      <w:r w:rsidRPr="004A3CD1">
        <w:rPr>
          <w:rFonts w:ascii="Sylfaen" w:hAnsi="Sylfaen" w:cs="Sylfaen"/>
          <w:sz w:val="24"/>
          <w:szCs w:val="24"/>
          <w:lang w:val="hy-AM"/>
        </w:rPr>
        <w:t xml:space="preserve">-ին, ժամը՝ </w:t>
      </w:r>
      <w:r>
        <w:rPr>
          <w:rFonts w:ascii="Sylfaen" w:hAnsi="Sylfaen" w:cs="Sylfaen"/>
          <w:sz w:val="24"/>
          <w:szCs w:val="24"/>
          <w:lang w:val="hy-AM"/>
        </w:rPr>
        <w:t>15:30</w:t>
      </w:r>
      <w:r w:rsidRPr="004A3CD1">
        <w:rPr>
          <w:rFonts w:ascii="Sylfaen" w:hAnsi="Sylfaen" w:cs="Sylfaen"/>
          <w:sz w:val="24"/>
          <w:szCs w:val="24"/>
          <w:lang w:val="hy-AM"/>
        </w:rPr>
        <w:t xml:space="preserve">-ին ՀՀ Երևան քաղաքի առաջին ատյանի ընդհանուր իրավասության </w:t>
      </w:r>
      <w:r>
        <w:rPr>
          <w:rFonts w:ascii="Sylfaen" w:hAnsi="Sylfaen" w:cs="Sylfaen"/>
          <w:sz w:val="24"/>
          <w:szCs w:val="24"/>
          <w:lang w:val="hy-AM"/>
        </w:rPr>
        <w:t xml:space="preserve">քաղաքացիական </w:t>
      </w:r>
      <w:r w:rsidRPr="004A3CD1">
        <w:rPr>
          <w:rFonts w:ascii="Sylfaen" w:hAnsi="Sylfaen" w:cs="Sylfaen"/>
          <w:sz w:val="24"/>
          <w:szCs w:val="24"/>
          <w:lang w:val="hy-AM"/>
        </w:rPr>
        <w:t xml:space="preserve">դատարանի Էրեբունու նստավայրի (հասցե` ՀՀ, ք.Երևան, Մ.Խորենացի 162Ա) դատական նիստերի թիվ </w:t>
      </w:r>
      <w:r>
        <w:rPr>
          <w:rFonts w:ascii="Sylfaen" w:hAnsi="Sylfaen" w:cs="Sylfaen"/>
          <w:sz w:val="24"/>
          <w:szCs w:val="24"/>
          <w:lang w:val="hy-AM"/>
        </w:rPr>
        <w:t xml:space="preserve">6 </w:t>
      </w:r>
      <w:r w:rsidRPr="004A3CD1">
        <w:rPr>
          <w:rFonts w:ascii="Sylfaen" w:hAnsi="Sylfaen" w:cs="Sylfaen"/>
          <w:sz w:val="24"/>
          <w:szCs w:val="24"/>
          <w:lang w:val="hy-AM"/>
        </w:rPr>
        <w:t>դահլիճում:</w:t>
      </w:r>
    </w:p>
    <w:p w14:paraId="1EA3CFCE" w14:textId="77777777" w:rsidR="00C16199" w:rsidRPr="000C7F83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6"/>
          <w:szCs w:val="24"/>
          <w:lang w:val="hy-AM"/>
        </w:rPr>
      </w:pPr>
    </w:p>
    <w:p w14:paraId="0D67E157" w14:textId="3A55C16A" w:rsidR="00C16199" w:rsidRPr="004A3CD1" w:rsidRDefault="00C16199" w:rsidP="00C16199">
      <w:pPr>
        <w:pStyle w:val="ListParagraph"/>
        <w:tabs>
          <w:tab w:val="left" w:pos="7920"/>
        </w:tabs>
        <w:spacing w:after="0"/>
        <w:ind w:left="0" w:firstLine="709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403D70" wp14:editId="0F750A43">
            <wp:simplePos x="0" y="0"/>
            <wp:positionH relativeFrom="column">
              <wp:posOffset>2277508</wp:posOffset>
            </wp:positionH>
            <wp:positionV relativeFrom="paragraph">
              <wp:posOffset>338455</wp:posOffset>
            </wp:positionV>
            <wp:extent cx="919480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033" y="21367"/>
                <wp:lineTo x="210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 w:cs="Sylfaen"/>
          <w:sz w:val="24"/>
          <w:szCs w:val="24"/>
          <w:lang w:val="hy-AM"/>
        </w:rPr>
        <w:t>7</w:t>
      </w:r>
      <w:r w:rsidRPr="004A3CD1">
        <w:rPr>
          <w:rFonts w:ascii="Sylfaen" w:hAnsi="Sylfaen" w:cs="Sylfaen"/>
          <w:sz w:val="24"/>
          <w:szCs w:val="24"/>
          <w:lang w:val="hy-AM"/>
        </w:rPr>
        <w:t>. Որոշումն օրինական ուժի մեջ է մտնում կայացման պահից և ենթակա չէ բողո</w:t>
      </w:r>
      <w:r w:rsidRPr="004A3CD1">
        <w:rPr>
          <w:rFonts w:ascii="Sylfaen" w:hAnsi="Sylfaen" w:cs="Sylfaen"/>
          <w:sz w:val="24"/>
          <w:szCs w:val="24"/>
          <w:lang w:val="hy-AM"/>
        </w:rPr>
        <w:softHyphen/>
        <w:t>քարկման:</w:t>
      </w:r>
    </w:p>
    <w:p w14:paraId="653C6F5D" w14:textId="309E0C97" w:rsidR="00C16199" w:rsidRPr="00B74683" w:rsidRDefault="00C16199" w:rsidP="00C16199">
      <w:pPr>
        <w:tabs>
          <w:tab w:val="left" w:pos="7920"/>
        </w:tabs>
        <w:spacing w:after="0" w:line="240" w:lineRule="auto"/>
        <w:ind w:firstLine="720"/>
        <w:jc w:val="both"/>
        <w:rPr>
          <w:rFonts w:ascii="Sylfaen" w:hAnsi="Sylfaen" w:cs="Sylfaen"/>
          <w:sz w:val="14"/>
          <w:szCs w:val="24"/>
          <w:lang w:val="nb-NO"/>
        </w:rPr>
      </w:pPr>
    </w:p>
    <w:p w14:paraId="5A893BCB" w14:textId="0CF85381" w:rsidR="00C16199" w:rsidRPr="00C16199" w:rsidRDefault="00C16199" w:rsidP="00C16199">
      <w:pPr>
        <w:pStyle w:val="BodyTextIndent"/>
        <w:spacing w:after="0" w:line="240" w:lineRule="auto"/>
        <w:jc w:val="center"/>
        <w:rPr>
          <w:rFonts w:ascii="Sylfaen" w:hAnsi="Sylfaen"/>
          <w:b/>
          <w:iCs/>
          <w:sz w:val="24"/>
          <w:szCs w:val="24"/>
          <w:lang w:val="hy-AM"/>
        </w:rPr>
      </w:pPr>
      <w:r w:rsidRPr="00C16199">
        <w:rPr>
          <w:rFonts w:ascii="Sylfaen" w:hAnsi="Sylfaen"/>
          <w:b/>
          <w:iCs/>
          <w:sz w:val="24"/>
          <w:szCs w:val="24"/>
          <w:lang w:val="hy-AM"/>
        </w:rPr>
        <w:t>ԴԱՏԱՎՈՐ`</w:t>
      </w:r>
      <w:r w:rsidRPr="00C16199">
        <w:rPr>
          <w:rFonts w:ascii="Sylfaen" w:hAnsi="Sylfaen"/>
          <w:b/>
          <w:iCs/>
          <w:sz w:val="24"/>
          <w:szCs w:val="24"/>
          <w:lang w:val="hy-AM"/>
        </w:rPr>
        <w:tab/>
      </w:r>
      <w:r w:rsidRPr="00C16199">
        <w:rPr>
          <w:rFonts w:ascii="Sylfaen" w:hAnsi="Sylfaen"/>
          <w:b/>
          <w:iCs/>
          <w:sz w:val="24"/>
          <w:szCs w:val="24"/>
          <w:lang w:val="hy-AM"/>
        </w:rPr>
        <w:tab/>
      </w:r>
      <w:r w:rsidRPr="00C16199">
        <w:rPr>
          <w:rFonts w:ascii="Sylfaen" w:hAnsi="Sylfaen"/>
          <w:b/>
          <w:iCs/>
          <w:sz w:val="24"/>
          <w:szCs w:val="24"/>
          <w:lang w:val="hy-AM"/>
        </w:rPr>
        <w:tab/>
        <w:t>ԼԻԶԱ  ԳՐԻԳՈՐՅԱՆ</w:t>
      </w:r>
    </w:p>
    <w:p w14:paraId="34A98B00" w14:textId="02BDADAE" w:rsidR="00696953" w:rsidRPr="00C16199" w:rsidRDefault="00696953"/>
    <w:sectPr w:rsidR="00696953" w:rsidRPr="00C16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CE"/>
    <w:rsid w:val="003E6A74"/>
    <w:rsid w:val="00450DCE"/>
    <w:rsid w:val="00696953"/>
    <w:rsid w:val="00C1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FCE14-7570-4B95-979D-D51C74B0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C161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1619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1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Minasyan</dc:creator>
  <cp:keywords>https:/mul2-minfin.gov.am/tasks/638846/oneclick/0e28ecdb3d25c6ab6b4705bf2a33fafac27c5c75e727770f603d80886ddd64aa.docx?token=a34c82a43a3f26cd89dfc64e784c6bb6</cp:keywords>
  <dc:description/>
  <cp:lastModifiedBy>Gor Mehrabyan</cp:lastModifiedBy>
  <cp:revision>2</cp:revision>
  <dcterms:created xsi:type="dcterms:W3CDTF">2023-05-30T05:46:00Z</dcterms:created>
  <dcterms:modified xsi:type="dcterms:W3CDTF">2023-05-30T05:46:00Z</dcterms:modified>
</cp:coreProperties>
</file>